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5489C154"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492C25" w:rsidRPr="00492C25">
        <w:rPr>
          <w:rFonts w:ascii="Arial" w:hAnsi="Arial" w:cs="Arial"/>
          <w:b/>
          <w:noProof/>
          <w:sz w:val="24"/>
          <w:lang w:val="en-US"/>
        </w:rPr>
        <w:t>R4-2218147</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6C1AD76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631513">
        <w:rPr>
          <w:rFonts w:ascii="Arial" w:hAnsi="Arial" w:cs="Arial"/>
          <w:b/>
          <w:sz w:val="22"/>
          <w:szCs w:val="22"/>
          <w:lang w:val="en-US"/>
        </w:rPr>
        <w:t>10.</w:t>
      </w:r>
      <w:r w:rsidR="005A696A">
        <w:rPr>
          <w:rFonts w:ascii="Arial" w:hAnsi="Arial" w:cs="Arial"/>
          <w:b/>
          <w:sz w:val="22"/>
          <w:szCs w:val="22"/>
          <w:lang w:val="en-US"/>
        </w:rPr>
        <w:t>2</w:t>
      </w:r>
      <w:r w:rsidR="00631513">
        <w:rPr>
          <w:rFonts w:ascii="Arial" w:hAnsi="Arial" w:cs="Arial"/>
          <w:b/>
          <w:sz w:val="22"/>
          <w:szCs w:val="22"/>
          <w:lang w:val="en-US"/>
        </w:rPr>
        <w:t>.</w:t>
      </w:r>
      <w:r w:rsidR="005A696A">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62FC0A2"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4556F" w:rsidRPr="00E4556F">
        <w:rPr>
          <w:rFonts w:ascii="Arial" w:hAnsi="Arial" w:cs="Arial"/>
          <w:b/>
          <w:sz w:val="22"/>
          <w:szCs w:val="22"/>
          <w:lang w:val="en-CN"/>
        </w:rPr>
        <w:t>On R18 gap enhancement scope</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4787D642" w:rsidR="00816A9A" w:rsidRDefault="00D972D0" w:rsidP="00CA0B7B">
      <w:r>
        <w:t>The scope of R18 gap enhancement was widely discussed during the previous RAN4 and RANP meetings. The last agreements can be found in [1], duplicated here for information:</w:t>
      </w:r>
    </w:p>
    <w:tbl>
      <w:tblPr>
        <w:tblStyle w:val="TableGrid"/>
        <w:tblW w:w="0" w:type="auto"/>
        <w:tblLook w:val="04A0" w:firstRow="1" w:lastRow="0" w:firstColumn="1" w:lastColumn="0" w:noHBand="0" w:noVBand="1"/>
      </w:tblPr>
      <w:tblGrid>
        <w:gridCol w:w="9629"/>
      </w:tblGrid>
      <w:tr w:rsidR="00D972D0" w14:paraId="2C050868" w14:textId="77777777" w:rsidTr="00D972D0">
        <w:tc>
          <w:tcPr>
            <w:tcW w:w="9629" w:type="dxa"/>
          </w:tcPr>
          <w:p w14:paraId="582045F9" w14:textId="77777777" w:rsidR="00D972D0" w:rsidRDefault="00D972D0" w:rsidP="00D972D0">
            <w:pPr>
              <w:pStyle w:val="Heading2"/>
              <w:outlineLvl w:val="1"/>
              <w:rPr>
                <w:b/>
                <w:bCs/>
                <w:sz w:val="24"/>
                <w:szCs w:val="24"/>
              </w:rPr>
            </w:pPr>
            <w:r>
              <w:rPr>
                <w:b/>
                <w:bCs/>
                <w:sz w:val="24"/>
                <w:szCs w:val="24"/>
              </w:rPr>
              <w:t xml:space="preserve">Issue 2-3: [Case 1] Whether to consider Pre-MG + Pre-MG in an FR  </w:t>
            </w:r>
          </w:p>
          <w:p w14:paraId="69294EE3" w14:textId="77777777" w:rsidR="00D972D0" w:rsidRDefault="00D972D0" w:rsidP="00D972D0">
            <w:pPr>
              <w:spacing w:afterLines="50" w:after="120"/>
              <w:ind w:leftChars="200" w:left="400"/>
              <w:rPr>
                <w:lang w:eastAsia="zh-CN"/>
              </w:rPr>
            </w:pPr>
            <w:r>
              <w:rPr>
                <w:b/>
                <w:lang w:eastAsia="zh-CN"/>
              </w:rPr>
              <w:t>&lt; Wayforward &gt;</w:t>
            </w:r>
            <w:r>
              <w:rPr>
                <w:lang w:eastAsia="zh-CN"/>
              </w:rPr>
              <w:t>: FFS the following options</w:t>
            </w:r>
          </w:p>
          <w:p w14:paraId="70C4527F" w14:textId="77777777" w:rsidR="00D972D0" w:rsidRDefault="00D972D0" w:rsidP="00D972D0">
            <w:pPr>
              <w:numPr>
                <w:ilvl w:val="1"/>
                <w:numId w:val="30"/>
              </w:numPr>
              <w:spacing w:afterLines="50" w:after="120"/>
              <w:rPr>
                <w:rFonts w:eastAsia="PMingLiU"/>
                <w:szCs w:val="24"/>
                <w:lang w:eastAsia="zh-TW"/>
              </w:rPr>
            </w:pPr>
            <w:r>
              <w:rPr>
                <w:rFonts w:eastAsia="PMingLiU"/>
                <w:szCs w:val="24"/>
                <w:lang w:eastAsia="zh-TW"/>
              </w:rPr>
              <w:t>Option 1: Yes</w:t>
            </w:r>
          </w:p>
          <w:p w14:paraId="369DD1E4" w14:textId="77777777" w:rsidR="00D972D0" w:rsidRDefault="00D972D0" w:rsidP="00D972D0">
            <w:pPr>
              <w:numPr>
                <w:ilvl w:val="1"/>
                <w:numId w:val="30"/>
              </w:numPr>
              <w:spacing w:afterLines="50" w:after="120"/>
              <w:rPr>
                <w:rFonts w:eastAsia="PMingLiU"/>
                <w:szCs w:val="24"/>
                <w:lang w:eastAsia="zh-TW"/>
              </w:rPr>
            </w:pPr>
            <w:r>
              <w:rPr>
                <w:rFonts w:eastAsia="PMingLiU"/>
                <w:szCs w:val="24"/>
                <w:lang w:eastAsia="zh-TW"/>
              </w:rPr>
              <w:t>Option 2: Deprioritize this combination</w:t>
            </w:r>
          </w:p>
          <w:p w14:paraId="5F89E620" w14:textId="77777777" w:rsidR="00D972D0" w:rsidRDefault="00D972D0" w:rsidP="00D972D0">
            <w:pPr>
              <w:numPr>
                <w:ilvl w:val="1"/>
                <w:numId w:val="30"/>
              </w:numPr>
              <w:spacing w:afterLines="50" w:after="120"/>
              <w:rPr>
                <w:rFonts w:eastAsia="PMingLiU"/>
                <w:szCs w:val="24"/>
                <w:lang w:eastAsia="zh-TW"/>
              </w:rPr>
            </w:pPr>
            <w:r>
              <w:rPr>
                <w:rFonts w:eastAsia="PMingLiU"/>
                <w:szCs w:val="24"/>
                <w:lang w:eastAsia="zh-TW"/>
              </w:rPr>
              <w:t xml:space="preserve">Option 3a: Up to UE capability </w:t>
            </w:r>
          </w:p>
          <w:p w14:paraId="484E52B5" w14:textId="77777777" w:rsidR="00D972D0" w:rsidRDefault="00D972D0" w:rsidP="00D972D0">
            <w:pPr>
              <w:numPr>
                <w:ilvl w:val="1"/>
                <w:numId w:val="30"/>
              </w:numPr>
              <w:spacing w:afterLines="50" w:after="120"/>
              <w:rPr>
                <w:rFonts w:eastAsia="PMingLiU"/>
                <w:szCs w:val="24"/>
                <w:lang w:eastAsia="zh-TW"/>
              </w:rPr>
            </w:pPr>
            <w:r>
              <w:rPr>
                <w:rFonts w:eastAsia="PMingLiU"/>
                <w:szCs w:val="24"/>
                <w:lang w:eastAsia="zh-TW"/>
              </w:rPr>
              <w:t>Option 3b: It would be subject to a new UE capability if the Pre-MGs collide with each other or with other MGs</w:t>
            </w:r>
          </w:p>
          <w:p w14:paraId="64A1F47E" w14:textId="77777777" w:rsidR="00D972D0" w:rsidRDefault="00D972D0" w:rsidP="002500FA">
            <w:pPr>
              <w:spacing w:afterLines="50" w:after="120"/>
            </w:pPr>
          </w:p>
          <w:p w14:paraId="342D63BC" w14:textId="77777777" w:rsidR="002500FA" w:rsidRDefault="002500FA" w:rsidP="002500FA">
            <w:pPr>
              <w:pStyle w:val="Heading2"/>
              <w:outlineLvl w:val="1"/>
              <w:rPr>
                <w:b/>
                <w:bCs/>
                <w:sz w:val="24"/>
                <w:szCs w:val="24"/>
              </w:rPr>
            </w:pPr>
            <w:r>
              <w:rPr>
                <w:b/>
                <w:bCs/>
                <w:sz w:val="24"/>
                <w:szCs w:val="24"/>
              </w:rPr>
              <w:t>Issue 2-15: [Case 2] Whether to consider NCSG + NCSG in an FR</w:t>
            </w:r>
          </w:p>
          <w:p w14:paraId="4C57F498" w14:textId="77777777" w:rsidR="002500FA" w:rsidRDefault="002500FA" w:rsidP="002500FA">
            <w:pPr>
              <w:spacing w:afterLines="50" w:after="120"/>
              <w:ind w:leftChars="200" w:left="400"/>
              <w:rPr>
                <w:lang w:eastAsia="zh-CN"/>
              </w:rPr>
            </w:pPr>
            <w:r>
              <w:rPr>
                <w:b/>
                <w:lang w:eastAsia="zh-CN"/>
              </w:rPr>
              <w:t>&lt; Wayforward &gt;</w:t>
            </w:r>
            <w:r>
              <w:rPr>
                <w:lang w:eastAsia="zh-CN"/>
              </w:rPr>
              <w:t>: FFS the following options</w:t>
            </w:r>
          </w:p>
          <w:p w14:paraId="654F4821" w14:textId="77777777" w:rsidR="002500FA" w:rsidRDefault="002500FA" w:rsidP="002500FA">
            <w:pPr>
              <w:numPr>
                <w:ilvl w:val="1"/>
                <w:numId w:val="30"/>
              </w:numPr>
              <w:spacing w:afterLines="50" w:after="120"/>
              <w:rPr>
                <w:rFonts w:eastAsia="PMingLiU"/>
                <w:szCs w:val="24"/>
                <w:lang w:eastAsia="zh-TW"/>
              </w:rPr>
            </w:pPr>
            <w:r>
              <w:rPr>
                <w:rFonts w:eastAsia="PMingLiU"/>
                <w:szCs w:val="24"/>
                <w:lang w:eastAsia="zh-TW"/>
              </w:rPr>
              <w:t>Option 1: Yes</w:t>
            </w:r>
          </w:p>
          <w:p w14:paraId="2D8EFCD2" w14:textId="77777777" w:rsidR="002500FA" w:rsidRDefault="002500FA" w:rsidP="002500FA">
            <w:pPr>
              <w:numPr>
                <w:ilvl w:val="1"/>
                <w:numId w:val="30"/>
              </w:numPr>
              <w:spacing w:afterLines="50" w:after="120"/>
              <w:rPr>
                <w:rFonts w:eastAsia="PMingLiU"/>
                <w:szCs w:val="24"/>
                <w:lang w:eastAsia="zh-TW"/>
              </w:rPr>
            </w:pPr>
            <w:r>
              <w:rPr>
                <w:rFonts w:eastAsia="PMingLiU"/>
                <w:szCs w:val="24"/>
                <w:lang w:eastAsia="zh-TW"/>
              </w:rPr>
              <w:t>Option 2: Deprioritize this combination</w:t>
            </w:r>
          </w:p>
          <w:p w14:paraId="6185CE2B" w14:textId="77777777" w:rsidR="002500FA" w:rsidRDefault="002500FA" w:rsidP="002500FA">
            <w:pPr>
              <w:numPr>
                <w:ilvl w:val="1"/>
                <w:numId w:val="30"/>
              </w:numPr>
              <w:spacing w:afterLines="50" w:after="120"/>
              <w:rPr>
                <w:rFonts w:eastAsia="PMingLiU"/>
                <w:szCs w:val="24"/>
                <w:lang w:eastAsia="zh-TW"/>
              </w:rPr>
            </w:pPr>
            <w:r>
              <w:rPr>
                <w:rFonts w:eastAsia="PMingLiU"/>
                <w:szCs w:val="24"/>
                <w:lang w:eastAsia="zh-TW"/>
              </w:rPr>
              <w:t>Option 3: Up to UE’s capability</w:t>
            </w:r>
          </w:p>
          <w:p w14:paraId="0DEF2FAF" w14:textId="3C5A05EC" w:rsidR="002500FA" w:rsidRDefault="002500FA" w:rsidP="002500FA">
            <w:pPr>
              <w:spacing w:afterLines="50" w:after="120"/>
            </w:pPr>
          </w:p>
        </w:tc>
      </w:tr>
    </w:tbl>
    <w:p w14:paraId="41337F0A" w14:textId="32601A0A" w:rsidR="00D972D0" w:rsidRDefault="00D972D0" w:rsidP="00CA0B7B"/>
    <w:p w14:paraId="2BD3BE96" w14:textId="7FA0B05A" w:rsidR="002500FA" w:rsidRPr="000D5DC6" w:rsidRDefault="002500FA" w:rsidP="00CA0B7B">
      <w:r>
        <w:t>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B586647" w14:textId="5B9AA806" w:rsidR="00B02D9C" w:rsidRDefault="002500FA" w:rsidP="00083194">
      <w:pPr>
        <w:rPr>
          <w:lang w:eastAsia="x-none"/>
        </w:rPr>
      </w:pPr>
      <w:r>
        <w:rPr>
          <w:lang w:eastAsia="x-none"/>
        </w:rPr>
        <w:t xml:space="preserve">The first issue is whether to consider Pre-MG + Pre-MG in case 1. </w:t>
      </w:r>
      <w:r w:rsidR="006C5308">
        <w:rPr>
          <w:lang w:eastAsia="x-none"/>
        </w:rPr>
        <w:t xml:space="preserve">According to RAN4#104e-bis email discussion, </w:t>
      </w:r>
      <w:r w:rsidR="004A4B1A">
        <w:rPr>
          <w:lang w:eastAsia="x-none"/>
        </w:rPr>
        <w:t xml:space="preserve">the </w:t>
      </w:r>
      <w:r w:rsidR="006C5308">
        <w:rPr>
          <w:lang w:eastAsia="x-none"/>
        </w:rPr>
        <w:t>majority companies</w:t>
      </w:r>
      <w:r w:rsidR="004A4B1A">
        <w:rPr>
          <w:lang w:eastAsia="x-none"/>
        </w:rPr>
        <w:t xml:space="preserve"> (11 companies) </w:t>
      </w:r>
      <w:r w:rsidR="006C5308">
        <w:rPr>
          <w:lang w:eastAsia="x-none"/>
        </w:rPr>
        <w:t>support to consider this case.</w:t>
      </w:r>
      <w:r w:rsidR="004A4B1A">
        <w:rPr>
          <w:lang w:eastAsia="x-none"/>
        </w:rPr>
        <w:t xml:space="preserve"> We also believe this is </w:t>
      </w:r>
      <w:r w:rsidR="00CD106E">
        <w:rPr>
          <w:lang w:eastAsia="x-none"/>
        </w:rPr>
        <w:t>a</w:t>
      </w:r>
      <w:r w:rsidR="004A4B1A">
        <w:rPr>
          <w:lang w:eastAsia="x-none"/>
        </w:rPr>
        <w:t xml:space="preserve"> useful combination.</w:t>
      </w:r>
      <w:r w:rsidR="00CD106E">
        <w:rPr>
          <w:lang w:eastAsia="x-none"/>
        </w:rPr>
        <w:t xml:space="preserve"> Some company asked for clarification on the use case. At least in our understanding it is useful in CA scenario:</w:t>
      </w:r>
    </w:p>
    <w:p w14:paraId="572CD86D" w14:textId="69B170FC" w:rsidR="00CD106E" w:rsidRDefault="00CD106E" w:rsidP="00CD106E">
      <w:pPr>
        <w:jc w:val="center"/>
        <w:rPr>
          <w:lang w:eastAsia="x-none"/>
        </w:rPr>
      </w:pPr>
      <w:r>
        <w:rPr>
          <w:noProof/>
          <w:lang w:val="en-US" w:eastAsia="zh-CN"/>
        </w:rPr>
        <w:lastRenderedPageBreak/>
        <w:drawing>
          <wp:inline distT="0" distB="0" distL="0" distR="0" wp14:anchorId="574851BB" wp14:editId="0C745924">
            <wp:extent cx="3771900" cy="1743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1900" cy="1743075"/>
                    </a:xfrm>
                    <a:prstGeom prst="rect">
                      <a:avLst/>
                    </a:prstGeom>
                    <a:noFill/>
                    <a:ln>
                      <a:noFill/>
                    </a:ln>
                  </pic:spPr>
                </pic:pic>
              </a:graphicData>
            </a:graphic>
          </wp:inline>
        </w:drawing>
      </w:r>
    </w:p>
    <w:p w14:paraId="75E80359" w14:textId="537411E2" w:rsidR="002500FA" w:rsidRDefault="00CD106E" w:rsidP="00CD106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Pre-MG + Pre-MG</w:t>
      </w:r>
    </w:p>
    <w:p w14:paraId="6B7C6A10" w14:textId="29DB58FB" w:rsidR="005A540F" w:rsidRDefault="00CD106E" w:rsidP="00083194">
      <w:pPr>
        <w:rPr>
          <w:lang w:eastAsia="x-none"/>
        </w:rPr>
      </w:pPr>
      <w:r w:rsidRPr="00CD106E">
        <w:rPr>
          <w:lang w:eastAsia="x-none"/>
        </w:rPr>
        <w:t xml:space="preserve">Since mobility control is handled on PCC, it is quite typical for NW to configure relatively short SMTC such as 20ms or 40ms. However, NW may choose to configure longer SMTC on SCC since mobility on SCC is less sensitive compared to PCC. In the above example, SMTC on PCC is 20ms while SMTC on SCC is 40ms. Due to load balance or power saving and other reason, NW may configure multiple BWP on both PCell and SCell. When PCell is working BWP1, UE can measure SSB on PCC w/o gap. When PCell is working on BWP2, UE needs MG1 to measure SSB on PCC. Similar situation on SCC. Sometimes gap is needed </w:t>
      </w:r>
      <w:r w:rsidRPr="00CD106E">
        <w:rPr>
          <w:rFonts w:hint="eastAsia"/>
          <w:lang w:eastAsia="x-none"/>
        </w:rPr>
        <w:t>whil</w:t>
      </w:r>
      <w:r w:rsidRPr="00CD106E">
        <w:rPr>
          <w:lang w:eastAsia="x-none"/>
        </w:rPr>
        <w:t>e sometimes is not needed to measure SSB on SCC. Actually, R17 Pre-MG in CA already support this case, i.e. UE can use MG1 to measure SSB. However, if UE can use another MGP with longer MGRP and shorter MGL to measure SSB on SCC when MG1 is not activated (BWP1 in PCell is active), system throughput can be increased. Because MG2 in green blocks has less overhead than MG1 in grey blocks.</w:t>
      </w:r>
      <w:r>
        <w:rPr>
          <w:lang w:eastAsia="x-none"/>
        </w:rPr>
        <w:t xml:space="preserve"> The longer periodicity of SMTC on SCC, the more gain there is. </w:t>
      </w:r>
    </w:p>
    <w:p w14:paraId="5EF1583E" w14:textId="648E1B8B" w:rsidR="005A540F" w:rsidRDefault="005A540F" w:rsidP="00083194">
      <w:pPr>
        <w:rPr>
          <w:lang w:eastAsia="x-none"/>
        </w:rPr>
      </w:pPr>
      <w:r>
        <w:rPr>
          <w:lang w:eastAsia="x-none"/>
        </w:rPr>
        <w:t>Regarding UE capability, we are open for further discussion.</w:t>
      </w:r>
    </w:p>
    <w:p w14:paraId="3AC3808F" w14:textId="57E3CEC8" w:rsidR="00DB4B65" w:rsidRDefault="00DB4B65" w:rsidP="00DB4B65">
      <w:pPr>
        <w:pStyle w:val="Caption"/>
      </w:pPr>
      <w:bookmarkStart w:id="3" w:name="_Ref118227223"/>
      <w:r>
        <w:t xml:space="preserve">Observation </w:t>
      </w:r>
      <w:r>
        <w:fldChar w:fldCharType="begin"/>
      </w:r>
      <w:r>
        <w:instrText xml:space="preserve"> SEQ Observation \* ARABIC </w:instrText>
      </w:r>
      <w:r>
        <w:fldChar w:fldCharType="separate"/>
      </w:r>
      <w:r>
        <w:rPr>
          <w:noProof/>
        </w:rPr>
        <w:t>1</w:t>
      </w:r>
      <w:r>
        <w:fldChar w:fldCharType="end"/>
      </w:r>
      <w:r>
        <w:t>: Pre-MG + Pre-MG is beneficial in CA scenario.</w:t>
      </w:r>
      <w:bookmarkEnd w:id="3"/>
    </w:p>
    <w:p w14:paraId="221D3D66" w14:textId="59ACED0D" w:rsidR="00CD106E" w:rsidRDefault="005A540F" w:rsidP="005A540F">
      <w:pPr>
        <w:pStyle w:val="Caption"/>
      </w:pPr>
      <w:bookmarkStart w:id="4" w:name="_Ref118227210"/>
      <w:r>
        <w:t xml:space="preserve">Proposal </w:t>
      </w:r>
      <w:r>
        <w:fldChar w:fldCharType="begin"/>
      </w:r>
      <w:r>
        <w:instrText xml:space="preserve"> SEQ Proposal \* ARABIC </w:instrText>
      </w:r>
      <w:r>
        <w:fldChar w:fldCharType="separate"/>
      </w:r>
      <w:r w:rsidR="00F004CB">
        <w:rPr>
          <w:noProof/>
        </w:rPr>
        <w:t>1</w:t>
      </w:r>
      <w:r>
        <w:fldChar w:fldCharType="end"/>
      </w:r>
      <w:r>
        <w:t>: Pre-MG + Pre-MG shall be considered in case 1</w:t>
      </w:r>
      <w:r w:rsidR="00DB4B65">
        <w:t>, unless any critical issue i</w:t>
      </w:r>
      <w:r w:rsidR="00F90260">
        <w:t>s i</w:t>
      </w:r>
      <w:r w:rsidR="00DB4B65">
        <w:t>dentified.</w:t>
      </w:r>
      <w:bookmarkEnd w:id="4"/>
    </w:p>
    <w:p w14:paraId="01CFA39B" w14:textId="394F37AB" w:rsidR="0000608A" w:rsidRDefault="005A540F" w:rsidP="005A540F">
      <w:pPr>
        <w:pStyle w:val="Caption"/>
      </w:pPr>
      <w:bookmarkStart w:id="5" w:name="_Ref118227213"/>
      <w:r>
        <w:t xml:space="preserve">Proposal </w:t>
      </w:r>
      <w:r>
        <w:fldChar w:fldCharType="begin"/>
      </w:r>
      <w:r>
        <w:instrText xml:space="preserve"> SEQ Proposal \* ARABIC </w:instrText>
      </w:r>
      <w:r>
        <w:fldChar w:fldCharType="separate"/>
      </w:r>
      <w:r w:rsidR="00F004CB">
        <w:rPr>
          <w:noProof/>
        </w:rPr>
        <w:t>2</w:t>
      </w:r>
      <w:r>
        <w:fldChar w:fldCharType="end"/>
      </w:r>
      <w:r>
        <w:t xml:space="preserve">: </w:t>
      </w:r>
      <w:r w:rsidR="0000608A">
        <w:t>RAN4 shall further discuss the following two options on UE capability:</w:t>
      </w:r>
      <w:bookmarkEnd w:id="5"/>
    </w:p>
    <w:p w14:paraId="4F354AD6" w14:textId="18D92A7A" w:rsidR="0000608A" w:rsidRDefault="0000608A" w:rsidP="0000608A">
      <w:pPr>
        <w:pStyle w:val="Caption"/>
        <w:numPr>
          <w:ilvl w:val="0"/>
          <w:numId w:val="36"/>
        </w:numPr>
      </w:pPr>
      <w:r>
        <w:t>Option 1: a unified capability to indicate support of case 1, including Pre-MG + Type-2 MG and Pre-MG + Pre-MG.</w:t>
      </w:r>
    </w:p>
    <w:p w14:paraId="563D5464" w14:textId="4A9D8A8D" w:rsidR="005A540F" w:rsidRPr="005A540F" w:rsidRDefault="0000608A" w:rsidP="0000608A">
      <w:pPr>
        <w:pStyle w:val="Caption"/>
        <w:numPr>
          <w:ilvl w:val="0"/>
          <w:numId w:val="36"/>
        </w:numPr>
      </w:pPr>
      <w:r>
        <w:t>Option 2: two separate capabilities to indicate support of Pre-MG + Type-2 MG and Pre-MG + Pre-MG.</w:t>
      </w:r>
    </w:p>
    <w:p w14:paraId="02DEC877" w14:textId="292327FF" w:rsidR="00CD106E" w:rsidRDefault="00CD106E" w:rsidP="00083194">
      <w:pPr>
        <w:rPr>
          <w:lang w:eastAsia="x-none"/>
        </w:rPr>
      </w:pPr>
    </w:p>
    <w:p w14:paraId="44C22812" w14:textId="3FBBE48D" w:rsidR="00DB4B65" w:rsidRDefault="00DB4B65" w:rsidP="00083194">
      <w:pPr>
        <w:rPr>
          <w:lang w:eastAsia="x-none"/>
        </w:rPr>
      </w:pPr>
      <w:r>
        <w:rPr>
          <w:lang w:eastAsia="x-none"/>
        </w:rPr>
        <w:t>The second issue is about NCSG + NCSG</w:t>
      </w:r>
      <w:r w:rsidR="00837B89">
        <w:rPr>
          <w:lang w:eastAsia="x-none"/>
        </w:rPr>
        <w:t xml:space="preserve">. Situation is similar with Pre-MG + Pre-MG, i.e. the majority of companies (12) companies indicated support </w:t>
      </w:r>
      <w:r w:rsidR="0045242A">
        <w:rPr>
          <w:lang w:eastAsia="x-none"/>
        </w:rPr>
        <w:t>of this combination. Some companies asked for clarification on the use case. At least in our understanding it is useful in CA scenario. It is our understanding that the use case is similar with R17 concurrent gaps. The only difference is that the Type-2 MG is replaced by NCSG, thanks to multiple RF chains and BB resource.</w:t>
      </w:r>
    </w:p>
    <w:p w14:paraId="7AEDE138" w14:textId="235D61F1" w:rsidR="009C1517" w:rsidRDefault="009C1517" w:rsidP="009C1517">
      <w:pPr>
        <w:rPr>
          <w:lang w:eastAsia="x-none"/>
        </w:rPr>
      </w:pPr>
      <w:r>
        <w:rPr>
          <w:lang w:eastAsia="x-none"/>
        </w:rPr>
        <w:t>In below example, the serving cell is on band A. Assuming UE has another spare RF chain to cover band B, UE can still use NCSG to measure band B. It is beneficial for NW to configure another NCSG for measuring band B, especially when SMTC on band A and B are not aligned. For instance:</w:t>
      </w:r>
    </w:p>
    <w:p w14:paraId="12E62A8A" w14:textId="77777777" w:rsidR="009C1517" w:rsidRDefault="009C1517" w:rsidP="009C1517">
      <w:pPr>
        <w:rPr>
          <w:lang w:eastAsia="x-none"/>
        </w:rPr>
      </w:pPr>
      <w:r w:rsidRPr="00127061">
        <w:rPr>
          <w:noProof/>
          <w:lang w:eastAsia="x-none"/>
        </w:rPr>
        <w:drawing>
          <wp:inline distT="0" distB="0" distL="0" distR="0" wp14:anchorId="2F51458F" wp14:editId="5BE64A7A">
            <wp:extent cx="6120765" cy="1459230"/>
            <wp:effectExtent l="0" t="0" r="635" b="127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9"/>
                    <a:stretch>
                      <a:fillRect/>
                    </a:stretch>
                  </pic:blipFill>
                  <pic:spPr>
                    <a:xfrm>
                      <a:off x="0" y="0"/>
                      <a:ext cx="6120765" cy="1459230"/>
                    </a:xfrm>
                    <a:prstGeom prst="rect">
                      <a:avLst/>
                    </a:prstGeom>
                  </pic:spPr>
                </pic:pic>
              </a:graphicData>
            </a:graphic>
          </wp:inline>
        </w:drawing>
      </w:r>
    </w:p>
    <w:p w14:paraId="22FABA17" w14:textId="655B6557" w:rsidR="009C1517" w:rsidRDefault="009C1517" w:rsidP="009C1517">
      <w:pPr>
        <w:pStyle w:val="Caption"/>
        <w:jc w:val="center"/>
      </w:pPr>
      <w:r>
        <w:t xml:space="preserve">Figure </w:t>
      </w:r>
      <w:r>
        <w:fldChar w:fldCharType="begin"/>
      </w:r>
      <w:r>
        <w:instrText xml:space="preserve"> SEQ Figure \* ARABIC </w:instrText>
      </w:r>
      <w:r>
        <w:fldChar w:fldCharType="separate"/>
      </w:r>
      <w:r w:rsidR="00F004CB">
        <w:rPr>
          <w:noProof/>
        </w:rPr>
        <w:t>2</w:t>
      </w:r>
      <w:r>
        <w:fldChar w:fldCharType="end"/>
      </w:r>
      <w:r>
        <w:t xml:space="preserve"> NCSG + NCSG</w:t>
      </w:r>
    </w:p>
    <w:p w14:paraId="07C1C28D" w14:textId="61F7EA47" w:rsidR="009C1517" w:rsidRDefault="009C1517" w:rsidP="009C1517">
      <w:pPr>
        <w:pStyle w:val="Caption"/>
      </w:pPr>
      <w:bookmarkStart w:id="6" w:name="_Ref110541049"/>
      <w:bookmarkStart w:id="7" w:name="_Ref118227228"/>
      <w:r>
        <w:t xml:space="preserve">Observation </w:t>
      </w:r>
      <w:r>
        <w:fldChar w:fldCharType="begin"/>
      </w:r>
      <w:r>
        <w:instrText xml:space="preserve"> SEQ Observation \* ARABIC </w:instrText>
      </w:r>
      <w:r>
        <w:fldChar w:fldCharType="separate"/>
      </w:r>
      <w:r w:rsidR="00F004CB">
        <w:rPr>
          <w:noProof/>
        </w:rPr>
        <w:t>2</w:t>
      </w:r>
      <w:r>
        <w:fldChar w:fldCharType="end"/>
      </w:r>
      <w:r>
        <w:t>: NCSG + NCSG is also beneficial under certain scenarios</w:t>
      </w:r>
      <w:bookmarkEnd w:id="6"/>
      <w:r w:rsidR="00F004CB">
        <w:t>.</w:t>
      </w:r>
      <w:bookmarkEnd w:id="7"/>
    </w:p>
    <w:p w14:paraId="7EE39D14" w14:textId="32EBBF71" w:rsidR="00F004CB" w:rsidRPr="00F004CB" w:rsidRDefault="00F004CB" w:rsidP="00F004CB">
      <w:pPr>
        <w:pStyle w:val="Caption"/>
      </w:pPr>
      <w:bookmarkStart w:id="8" w:name="_Ref118227215"/>
      <w:r>
        <w:lastRenderedPageBreak/>
        <w:t xml:space="preserve">Proposal </w:t>
      </w:r>
      <w:r>
        <w:fldChar w:fldCharType="begin"/>
      </w:r>
      <w:r>
        <w:instrText xml:space="preserve"> SEQ Proposal \* ARABIC </w:instrText>
      </w:r>
      <w:r>
        <w:fldChar w:fldCharType="separate"/>
      </w:r>
      <w:r>
        <w:rPr>
          <w:noProof/>
        </w:rPr>
        <w:t>3</w:t>
      </w:r>
      <w:r>
        <w:fldChar w:fldCharType="end"/>
      </w:r>
      <w:r>
        <w:t>: NCSG + NCSG shall be considered in case 2, unless any critical issue i</w:t>
      </w:r>
      <w:r w:rsidR="00F90260">
        <w:t>s identified.</w:t>
      </w:r>
      <w:bookmarkEnd w:id="8"/>
      <w:r w:rsidR="00F90260">
        <w:t xml:space="preserve"> </w:t>
      </w:r>
    </w:p>
    <w:p w14:paraId="7DE1D118" w14:textId="0617B51B" w:rsidR="00AF100C" w:rsidRDefault="00AF100C" w:rsidP="00AF100C">
      <w:pPr>
        <w:pStyle w:val="Caption"/>
      </w:pPr>
      <w:bookmarkStart w:id="9" w:name="_Ref118227476"/>
      <w:r>
        <w:t xml:space="preserve">Proposal </w:t>
      </w:r>
      <w:r>
        <w:fldChar w:fldCharType="begin"/>
      </w:r>
      <w:r>
        <w:instrText xml:space="preserve"> SEQ Proposal \* ARABIC </w:instrText>
      </w:r>
      <w:r>
        <w:fldChar w:fldCharType="separate"/>
      </w:r>
      <w:r>
        <w:rPr>
          <w:noProof/>
        </w:rPr>
        <w:t>4</w:t>
      </w:r>
      <w:r>
        <w:fldChar w:fldCharType="end"/>
      </w:r>
      <w:r>
        <w:t>: RAN4 shall further discuss the following two options on UE capability:</w:t>
      </w:r>
      <w:bookmarkEnd w:id="9"/>
    </w:p>
    <w:p w14:paraId="5B1F8F23" w14:textId="4D6CDCA5" w:rsidR="00AF100C" w:rsidRDefault="00AF100C" w:rsidP="00AF100C">
      <w:pPr>
        <w:pStyle w:val="Caption"/>
        <w:numPr>
          <w:ilvl w:val="0"/>
          <w:numId w:val="36"/>
        </w:numPr>
      </w:pPr>
      <w:r>
        <w:t>Option 1: a unified capability to indicate support of case 1, including NCSG + Type-2 MG and NCSG + NCSG.</w:t>
      </w:r>
    </w:p>
    <w:p w14:paraId="64C310A6" w14:textId="3FF309C0" w:rsidR="00AF100C" w:rsidRPr="005A540F" w:rsidRDefault="00AF100C" w:rsidP="00AF100C">
      <w:pPr>
        <w:pStyle w:val="Caption"/>
        <w:numPr>
          <w:ilvl w:val="0"/>
          <w:numId w:val="36"/>
        </w:numPr>
      </w:pPr>
      <w:r>
        <w:t>Option 2: two separate capabilities to indicate support of NCSG + Type-2 MG and NCSG + NCSG.</w:t>
      </w:r>
    </w:p>
    <w:p w14:paraId="0679BE0C" w14:textId="77777777" w:rsidR="002500FA" w:rsidRPr="00083194" w:rsidRDefault="002500FA"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37D7E24B" w:rsidR="00BA387A" w:rsidRDefault="005D4A3C" w:rsidP="00BA387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 scope of case 1 and case 2 in joint configuration of Pre-MG, concurrent gaps and NCSG. After discussion the following conclusions are provided:</w:t>
      </w:r>
    </w:p>
    <w:p w14:paraId="70113BB9" w14:textId="49499C6B" w:rsidR="00AF100C" w:rsidRPr="00771F30" w:rsidRDefault="00AF100C" w:rsidP="00BA387A">
      <w:pPr>
        <w:jc w:val="both"/>
        <w:rPr>
          <w:rFonts w:cs="v4.2.0"/>
          <w:b/>
          <w:bCs/>
          <w:lang w:val="en-US" w:eastAsia="zh-CN"/>
        </w:rPr>
      </w:pPr>
      <w:r w:rsidRPr="00771F30">
        <w:rPr>
          <w:rFonts w:cs="v4.2.0"/>
          <w:b/>
          <w:bCs/>
          <w:lang w:val="en-US" w:eastAsia="zh-CN"/>
        </w:rPr>
        <w:fldChar w:fldCharType="begin"/>
      </w:r>
      <w:r w:rsidRPr="00771F30">
        <w:rPr>
          <w:rFonts w:cs="v4.2.0"/>
          <w:b/>
          <w:bCs/>
          <w:lang w:val="en-US" w:eastAsia="zh-CN"/>
        </w:rPr>
        <w:instrText xml:space="preserve"> REF _Ref118227223 \h </w:instrText>
      </w:r>
      <w:r w:rsidR="00771F30">
        <w:rPr>
          <w:rFonts w:cs="v4.2.0"/>
          <w:b/>
          <w:bCs/>
          <w:lang w:val="en-US" w:eastAsia="zh-CN"/>
        </w:rPr>
        <w:instrText xml:space="preserve"> \* MERGEFORMAT </w:instrText>
      </w:r>
      <w:r w:rsidRPr="00771F30">
        <w:rPr>
          <w:rFonts w:cs="v4.2.0"/>
          <w:b/>
          <w:bCs/>
          <w:lang w:val="en-US" w:eastAsia="zh-CN"/>
        </w:rPr>
      </w:r>
      <w:r w:rsidRPr="00771F30">
        <w:rPr>
          <w:rFonts w:cs="v4.2.0"/>
          <w:b/>
          <w:bCs/>
          <w:lang w:val="en-US" w:eastAsia="zh-CN"/>
        </w:rPr>
        <w:fldChar w:fldCharType="separate"/>
      </w:r>
      <w:r w:rsidRPr="00771F30">
        <w:rPr>
          <w:b/>
          <w:bCs/>
        </w:rPr>
        <w:t xml:space="preserve">Observation </w:t>
      </w:r>
      <w:r w:rsidRPr="00771F30">
        <w:rPr>
          <w:b/>
          <w:bCs/>
          <w:noProof/>
        </w:rPr>
        <w:t>1</w:t>
      </w:r>
      <w:r w:rsidRPr="00771F30">
        <w:rPr>
          <w:b/>
          <w:bCs/>
        </w:rPr>
        <w:t>: Pre-MG + Pre-MG is beneficial in CA scenario.</w:t>
      </w:r>
      <w:r w:rsidRPr="00771F30">
        <w:rPr>
          <w:rFonts w:cs="v4.2.0"/>
          <w:b/>
          <w:bCs/>
          <w:lang w:val="en-US" w:eastAsia="zh-CN"/>
        </w:rPr>
        <w:fldChar w:fldCharType="end"/>
      </w:r>
    </w:p>
    <w:p w14:paraId="56F46E85" w14:textId="2802A411" w:rsidR="00AF100C" w:rsidRPr="00771F30" w:rsidRDefault="00AF100C" w:rsidP="00BA387A">
      <w:pPr>
        <w:jc w:val="both"/>
        <w:rPr>
          <w:rFonts w:cs="v4.2.0"/>
          <w:b/>
          <w:bCs/>
          <w:lang w:val="en-US" w:eastAsia="zh-CN"/>
        </w:rPr>
      </w:pPr>
      <w:r w:rsidRPr="00771F30">
        <w:rPr>
          <w:rFonts w:cs="v4.2.0"/>
          <w:b/>
          <w:bCs/>
          <w:lang w:val="en-US" w:eastAsia="zh-CN"/>
        </w:rPr>
        <w:fldChar w:fldCharType="begin"/>
      </w:r>
      <w:r w:rsidRPr="00771F30">
        <w:rPr>
          <w:rFonts w:cs="v4.2.0"/>
          <w:b/>
          <w:bCs/>
          <w:lang w:val="en-US" w:eastAsia="zh-CN"/>
        </w:rPr>
        <w:instrText xml:space="preserve"> REF _Ref118227210 \h </w:instrText>
      </w:r>
      <w:r w:rsidR="00771F30">
        <w:rPr>
          <w:rFonts w:cs="v4.2.0"/>
          <w:b/>
          <w:bCs/>
          <w:lang w:val="en-US" w:eastAsia="zh-CN"/>
        </w:rPr>
        <w:instrText xml:space="preserve"> \* MERGEFORMAT </w:instrText>
      </w:r>
      <w:r w:rsidRPr="00771F30">
        <w:rPr>
          <w:rFonts w:cs="v4.2.0"/>
          <w:b/>
          <w:bCs/>
          <w:lang w:val="en-US" w:eastAsia="zh-CN"/>
        </w:rPr>
      </w:r>
      <w:r w:rsidRPr="00771F30">
        <w:rPr>
          <w:rFonts w:cs="v4.2.0"/>
          <w:b/>
          <w:bCs/>
          <w:lang w:val="en-US" w:eastAsia="zh-CN"/>
        </w:rPr>
        <w:fldChar w:fldCharType="separate"/>
      </w:r>
      <w:r w:rsidRPr="00771F30">
        <w:rPr>
          <w:b/>
          <w:bCs/>
        </w:rPr>
        <w:t xml:space="preserve">Proposal </w:t>
      </w:r>
      <w:r w:rsidRPr="00771F30">
        <w:rPr>
          <w:b/>
          <w:bCs/>
          <w:noProof/>
        </w:rPr>
        <w:t>1</w:t>
      </w:r>
      <w:r w:rsidRPr="00771F30">
        <w:rPr>
          <w:b/>
          <w:bCs/>
        </w:rPr>
        <w:t>: Pre-MG + Pre-MG shall be considered in case 1, unless any critical issue is identified.</w:t>
      </w:r>
      <w:r w:rsidRPr="00771F30">
        <w:rPr>
          <w:rFonts w:cs="v4.2.0"/>
          <w:b/>
          <w:bCs/>
          <w:lang w:val="en-US" w:eastAsia="zh-CN"/>
        </w:rPr>
        <w:fldChar w:fldCharType="end"/>
      </w:r>
    </w:p>
    <w:p w14:paraId="31A22257" w14:textId="085CE8EF" w:rsidR="00AF100C" w:rsidRPr="00771F30" w:rsidRDefault="00AF100C" w:rsidP="00BA387A">
      <w:pPr>
        <w:jc w:val="both"/>
        <w:rPr>
          <w:rFonts w:cs="v4.2.0"/>
          <w:b/>
          <w:bCs/>
          <w:lang w:val="en-US" w:eastAsia="zh-CN"/>
        </w:rPr>
      </w:pPr>
      <w:r w:rsidRPr="00771F30">
        <w:rPr>
          <w:rFonts w:cs="v4.2.0"/>
          <w:b/>
          <w:bCs/>
          <w:lang w:val="en-US" w:eastAsia="zh-CN"/>
        </w:rPr>
        <w:fldChar w:fldCharType="begin"/>
      </w:r>
      <w:r w:rsidRPr="00771F30">
        <w:rPr>
          <w:rFonts w:cs="v4.2.0"/>
          <w:b/>
          <w:bCs/>
          <w:lang w:val="en-US" w:eastAsia="zh-CN"/>
        </w:rPr>
        <w:instrText xml:space="preserve"> REF _Ref118227213 \h </w:instrText>
      </w:r>
      <w:r w:rsidR="00771F30">
        <w:rPr>
          <w:rFonts w:cs="v4.2.0"/>
          <w:b/>
          <w:bCs/>
          <w:lang w:val="en-US" w:eastAsia="zh-CN"/>
        </w:rPr>
        <w:instrText xml:space="preserve"> \* MERGEFORMAT </w:instrText>
      </w:r>
      <w:r w:rsidRPr="00771F30">
        <w:rPr>
          <w:rFonts w:cs="v4.2.0"/>
          <w:b/>
          <w:bCs/>
          <w:lang w:val="en-US" w:eastAsia="zh-CN"/>
        </w:rPr>
      </w:r>
      <w:r w:rsidRPr="00771F30">
        <w:rPr>
          <w:rFonts w:cs="v4.2.0"/>
          <w:b/>
          <w:bCs/>
          <w:lang w:val="en-US" w:eastAsia="zh-CN"/>
        </w:rPr>
        <w:fldChar w:fldCharType="separate"/>
      </w:r>
      <w:r w:rsidRPr="00771F30">
        <w:rPr>
          <w:b/>
          <w:bCs/>
        </w:rPr>
        <w:t xml:space="preserve">Proposal </w:t>
      </w:r>
      <w:r w:rsidRPr="00771F30">
        <w:rPr>
          <w:b/>
          <w:bCs/>
          <w:noProof/>
        </w:rPr>
        <w:t>2</w:t>
      </w:r>
      <w:r w:rsidRPr="00771F30">
        <w:rPr>
          <w:b/>
          <w:bCs/>
        </w:rPr>
        <w:t>: RAN4 shall further discuss the following two options on UE capability:</w:t>
      </w:r>
      <w:r w:rsidRPr="00771F30">
        <w:rPr>
          <w:rFonts w:cs="v4.2.0"/>
          <w:b/>
          <w:bCs/>
          <w:lang w:val="en-US" w:eastAsia="zh-CN"/>
        </w:rPr>
        <w:fldChar w:fldCharType="end"/>
      </w:r>
    </w:p>
    <w:p w14:paraId="2C2CB2F2" w14:textId="77777777" w:rsidR="00771F30" w:rsidRPr="00771F30" w:rsidRDefault="00771F30" w:rsidP="00771F30">
      <w:pPr>
        <w:pStyle w:val="Caption"/>
        <w:numPr>
          <w:ilvl w:val="0"/>
          <w:numId w:val="36"/>
        </w:numPr>
      </w:pPr>
      <w:r w:rsidRPr="00771F30">
        <w:t>Option 1: a unified capability to indicate support of case 1, including Pre-MG + Type-2 MG and Pre-MG + Pre-MG.</w:t>
      </w:r>
    </w:p>
    <w:p w14:paraId="0049D994" w14:textId="52C0CB71" w:rsidR="00771F30" w:rsidRPr="00771F30" w:rsidRDefault="00771F30" w:rsidP="00771F30">
      <w:pPr>
        <w:pStyle w:val="Caption"/>
        <w:numPr>
          <w:ilvl w:val="0"/>
          <w:numId w:val="36"/>
        </w:numPr>
      </w:pPr>
      <w:r w:rsidRPr="00771F30">
        <w:t>Option 2: two separate capabilities to indicate support of Pre-MG + Type-2 MG and Pre-MG + Pre-MG.</w:t>
      </w:r>
    </w:p>
    <w:p w14:paraId="164FA241" w14:textId="6F60DA9C" w:rsidR="00AF100C" w:rsidRPr="00771F30" w:rsidRDefault="00AF100C" w:rsidP="00BA387A">
      <w:pPr>
        <w:jc w:val="both"/>
        <w:rPr>
          <w:rFonts w:cs="v4.2.0"/>
          <w:b/>
          <w:bCs/>
          <w:lang w:val="en-US" w:eastAsia="zh-CN"/>
        </w:rPr>
      </w:pPr>
      <w:r w:rsidRPr="00771F30">
        <w:rPr>
          <w:rFonts w:cs="v4.2.0"/>
          <w:b/>
          <w:bCs/>
          <w:lang w:val="en-US" w:eastAsia="zh-CN"/>
        </w:rPr>
        <w:fldChar w:fldCharType="begin"/>
      </w:r>
      <w:r w:rsidRPr="00771F30">
        <w:rPr>
          <w:rFonts w:cs="v4.2.0"/>
          <w:b/>
          <w:bCs/>
          <w:lang w:val="en-US" w:eastAsia="zh-CN"/>
        </w:rPr>
        <w:instrText xml:space="preserve"> REF _Ref118227228 \h </w:instrText>
      </w:r>
      <w:r w:rsidR="00771F30">
        <w:rPr>
          <w:rFonts w:cs="v4.2.0"/>
          <w:b/>
          <w:bCs/>
          <w:lang w:val="en-US" w:eastAsia="zh-CN"/>
        </w:rPr>
        <w:instrText xml:space="preserve"> \* MERGEFORMAT </w:instrText>
      </w:r>
      <w:r w:rsidRPr="00771F30">
        <w:rPr>
          <w:rFonts w:cs="v4.2.0"/>
          <w:b/>
          <w:bCs/>
          <w:lang w:val="en-US" w:eastAsia="zh-CN"/>
        </w:rPr>
      </w:r>
      <w:r w:rsidRPr="00771F30">
        <w:rPr>
          <w:rFonts w:cs="v4.2.0"/>
          <w:b/>
          <w:bCs/>
          <w:lang w:val="en-US" w:eastAsia="zh-CN"/>
        </w:rPr>
        <w:fldChar w:fldCharType="separate"/>
      </w:r>
      <w:r w:rsidRPr="00771F30">
        <w:rPr>
          <w:b/>
          <w:bCs/>
        </w:rPr>
        <w:t xml:space="preserve">Observation </w:t>
      </w:r>
      <w:r w:rsidRPr="00771F30">
        <w:rPr>
          <w:b/>
          <w:bCs/>
          <w:noProof/>
        </w:rPr>
        <w:t>2</w:t>
      </w:r>
      <w:r w:rsidRPr="00771F30">
        <w:rPr>
          <w:b/>
          <w:bCs/>
        </w:rPr>
        <w:t>: NCSG + NCSG is also beneficial under certain scenarios.</w:t>
      </w:r>
      <w:r w:rsidRPr="00771F30">
        <w:rPr>
          <w:rFonts w:cs="v4.2.0"/>
          <w:b/>
          <w:bCs/>
          <w:lang w:val="en-US" w:eastAsia="zh-CN"/>
        </w:rPr>
        <w:fldChar w:fldCharType="end"/>
      </w:r>
    </w:p>
    <w:p w14:paraId="715FD4F4" w14:textId="71AF7EF1" w:rsidR="00AF100C" w:rsidRPr="00771F30" w:rsidRDefault="00AF100C" w:rsidP="00BA387A">
      <w:pPr>
        <w:jc w:val="both"/>
        <w:rPr>
          <w:rFonts w:cs="v4.2.0"/>
          <w:b/>
          <w:bCs/>
          <w:lang w:val="en-US" w:eastAsia="zh-CN"/>
        </w:rPr>
      </w:pPr>
      <w:r w:rsidRPr="00771F30">
        <w:rPr>
          <w:rFonts w:cs="v4.2.0"/>
          <w:b/>
          <w:bCs/>
          <w:lang w:val="en-US" w:eastAsia="zh-CN"/>
        </w:rPr>
        <w:fldChar w:fldCharType="begin"/>
      </w:r>
      <w:r w:rsidRPr="00771F30">
        <w:rPr>
          <w:rFonts w:cs="v4.2.0"/>
          <w:b/>
          <w:bCs/>
          <w:lang w:val="en-US" w:eastAsia="zh-CN"/>
        </w:rPr>
        <w:instrText xml:space="preserve"> REF _Ref118227215 \h </w:instrText>
      </w:r>
      <w:r w:rsidR="00771F30">
        <w:rPr>
          <w:rFonts w:cs="v4.2.0"/>
          <w:b/>
          <w:bCs/>
          <w:lang w:val="en-US" w:eastAsia="zh-CN"/>
        </w:rPr>
        <w:instrText xml:space="preserve"> \* MERGEFORMAT </w:instrText>
      </w:r>
      <w:r w:rsidRPr="00771F30">
        <w:rPr>
          <w:rFonts w:cs="v4.2.0"/>
          <w:b/>
          <w:bCs/>
          <w:lang w:val="en-US" w:eastAsia="zh-CN"/>
        </w:rPr>
      </w:r>
      <w:r w:rsidRPr="00771F30">
        <w:rPr>
          <w:rFonts w:cs="v4.2.0"/>
          <w:b/>
          <w:bCs/>
          <w:lang w:val="en-US" w:eastAsia="zh-CN"/>
        </w:rPr>
        <w:fldChar w:fldCharType="separate"/>
      </w:r>
      <w:r w:rsidRPr="00771F30">
        <w:rPr>
          <w:b/>
          <w:bCs/>
        </w:rPr>
        <w:t xml:space="preserve">Proposal </w:t>
      </w:r>
      <w:r w:rsidRPr="00771F30">
        <w:rPr>
          <w:b/>
          <w:bCs/>
          <w:noProof/>
        </w:rPr>
        <w:t>3</w:t>
      </w:r>
      <w:r w:rsidRPr="00771F30">
        <w:rPr>
          <w:b/>
          <w:bCs/>
        </w:rPr>
        <w:t>: NCSG + NCSG shall be considered in case 2, unless any critical issue is identified.</w:t>
      </w:r>
      <w:r w:rsidRPr="00771F30">
        <w:rPr>
          <w:rFonts w:cs="v4.2.0"/>
          <w:b/>
          <w:bCs/>
          <w:lang w:val="en-US" w:eastAsia="zh-CN"/>
        </w:rPr>
        <w:fldChar w:fldCharType="end"/>
      </w:r>
    </w:p>
    <w:p w14:paraId="0D15FF17" w14:textId="74A5CF85" w:rsidR="000D3027" w:rsidRPr="00771F30" w:rsidRDefault="00771F30" w:rsidP="000D3027">
      <w:pPr>
        <w:jc w:val="both"/>
        <w:rPr>
          <w:rFonts w:cs="v4.2.0"/>
          <w:b/>
          <w:bCs/>
          <w:lang w:val="en-US" w:eastAsia="zh-CN"/>
        </w:rPr>
      </w:pPr>
      <w:r w:rsidRPr="00771F30">
        <w:rPr>
          <w:rFonts w:cs="v4.2.0"/>
          <w:b/>
          <w:bCs/>
          <w:lang w:val="en-US" w:eastAsia="zh-CN"/>
        </w:rPr>
        <w:fldChar w:fldCharType="begin"/>
      </w:r>
      <w:r w:rsidRPr="00771F30">
        <w:rPr>
          <w:rFonts w:cs="v4.2.0"/>
          <w:b/>
          <w:bCs/>
          <w:lang w:val="en-US" w:eastAsia="zh-CN"/>
        </w:rPr>
        <w:instrText xml:space="preserve"> REF _Ref118227476 \h </w:instrText>
      </w:r>
      <w:r>
        <w:rPr>
          <w:rFonts w:cs="v4.2.0"/>
          <w:b/>
          <w:bCs/>
          <w:lang w:val="en-US" w:eastAsia="zh-CN"/>
        </w:rPr>
        <w:instrText xml:space="preserve"> \* MERGEFORMAT </w:instrText>
      </w:r>
      <w:r w:rsidRPr="00771F30">
        <w:rPr>
          <w:rFonts w:cs="v4.2.0"/>
          <w:b/>
          <w:bCs/>
          <w:lang w:val="en-US" w:eastAsia="zh-CN"/>
        </w:rPr>
      </w:r>
      <w:r w:rsidRPr="00771F30">
        <w:rPr>
          <w:rFonts w:cs="v4.2.0"/>
          <w:b/>
          <w:bCs/>
          <w:lang w:val="en-US" w:eastAsia="zh-CN"/>
        </w:rPr>
        <w:fldChar w:fldCharType="separate"/>
      </w:r>
      <w:r w:rsidRPr="00771F30">
        <w:rPr>
          <w:b/>
          <w:bCs/>
        </w:rPr>
        <w:t xml:space="preserve">Proposal </w:t>
      </w:r>
      <w:r w:rsidRPr="00771F30">
        <w:rPr>
          <w:b/>
          <w:bCs/>
          <w:noProof/>
        </w:rPr>
        <w:t>4</w:t>
      </w:r>
      <w:r w:rsidRPr="00771F30">
        <w:rPr>
          <w:b/>
          <w:bCs/>
        </w:rPr>
        <w:t>: RAN4 shall further discuss the following two options on UE capability:</w:t>
      </w:r>
      <w:r w:rsidRPr="00771F30">
        <w:rPr>
          <w:rFonts w:cs="v4.2.0"/>
          <w:b/>
          <w:bCs/>
          <w:lang w:val="en-US" w:eastAsia="zh-CN"/>
        </w:rPr>
        <w:fldChar w:fldCharType="end"/>
      </w:r>
    </w:p>
    <w:p w14:paraId="449DD656" w14:textId="77777777" w:rsidR="00771F30" w:rsidRDefault="00771F30" w:rsidP="00771F30">
      <w:pPr>
        <w:pStyle w:val="Caption"/>
        <w:numPr>
          <w:ilvl w:val="0"/>
          <w:numId w:val="36"/>
        </w:numPr>
      </w:pPr>
      <w:r>
        <w:t>Option 1: a unified capability to indicate support of case 1, including NCSG + Type-2 MG and NCSG + NCSG.</w:t>
      </w:r>
    </w:p>
    <w:p w14:paraId="76347C80" w14:textId="77777777" w:rsidR="00771F30" w:rsidRPr="005A540F" w:rsidRDefault="00771F30" w:rsidP="00771F30">
      <w:pPr>
        <w:pStyle w:val="Caption"/>
        <w:numPr>
          <w:ilvl w:val="0"/>
          <w:numId w:val="36"/>
        </w:numPr>
      </w:pPr>
      <w:r>
        <w:t>Option 2: two separate capabilities to indicate support of NCSG + Type-2 MG and NCSG + NCSG.</w:t>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FB5C910" w14:textId="3F65624D" w:rsidR="00647981" w:rsidRPr="00171398" w:rsidRDefault="00C1738F" w:rsidP="00171398">
      <w:pPr>
        <w:pStyle w:val="Reference"/>
        <w:keepLines/>
        <w:numPr>
          <w:ilvl w:val="0"/>
          <w:numId w:val="12"/>
        </w:numPr>
        <w:rPr>
          <w:lang w:val="en-CN"/>
        </w:rPr>
      </w:pPr>
      <w:r w:rsidRPr="00C1738F">
        <w:rPr>
          <w:lang w:val="en-CN"/>
        </w:rPr>
        <w:t>R4</w:t>
      </w:r>
      <w:r w:rsidR="00D972D0">
        <w:rPr>
          <w:lang w:val="en-CN"/>
        </w:rPr>
        <w:t>-</w:t>
      </w:r>
      <w:r w:rsidR="00D972D0" w:rsidRPr="00D972D0">
        <w:t>2217251</w:t>
      </w:r>
      <w:r w:rsidR="00D972D0">
        <w:rPr>
          <w:lang w:val="en-US" w:eastAsia="zh-CN"/>
        </w:rPr>
        <w:t xml:space="preserve">, </w:t>
      </w:r>
      <w:r w:rsidR="00D972D0" w:rsidRPr="00D972D0">
        <w:rPr>
          <w:bCs/>
          <w:lang w:eastAsia="zh-CN"/>
        </w:rPr>
        <w:t>WF on further enhancements on measurement gaps and measurements without gaps</w:t>
      </w:r>
      <w:r w:rsidR="00D972D0">
        <w:rPr>
          <w:bCs/>
          <w:lang w:eastAsia="zh-CN"/>
        </w:rPr>
        <w:t xml:space="preserve">, </w:t>
      </w:r>
      <w:r w:rsidR="00D972D0" w:rsidRPr="00D972D0">
        <w:rPr>
          <w:bCs/>
          <w:lang w:eastAsia="zh-CN"/>
        </w:rPr>
        <w:t>MediaTek inc.</w:t>
      </w:r>
    </w:p>
    <w:sectPr w:rsidR="00647981" w:rsidRPr="0017139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2184" w14:textId="77777777" w:rsidR="00CB5291" w:rsidRDefault="00CB5291">
      <w:pPr>
        <w:spacing w:after="0"/>
      </w:pPr>
      <w:r>
        <w:separator/>
      </w:r>
    </w:p>
  </w:endnote>
  <w:endnote w:type="continuationSeparator" w:id="0">
    <w:p w14:paraId="7BC2B10D" w14:textId="77777777" w:rsidR="00CB5291" w:rsidRDefault="00CB5291">
      <w:pPr>
        <w:spacing w:after="0"/>
      </w:pPr>
      <w:r>
        <w:continuationSeparator/>
      </w:r>
    </w:p>
  </w:endnote>
  <w:endnote w:type="continuationNotice" w:id="1">
    <w:p w14:paraId="20A98689" w14:textId="77777777" w:rsidR="00CB5291" w:rsidRDefault="00CB5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0CCEF" w14:textId="77777777" w:rsidR="00CB5291" w:rsidRDefault="00CB5291">
      <w:pPr>
        <w:spacing w:after="0"/>
      </w:pPr>
      <w:r>
        <w:separator/>
      </w:r>
    </w:p>
  </w:footnote>
  <w:footnote w:type="continuationSeparator" w:id="0">
    <w:p w14:paraId="30BD99C3" w14:textId="77777777" w:rsidR="00CB5291" w:rsidRDefault="00CB5291">
      <w:pPr>
        <w:spacing w:after="0"/>
      </w:pPr>
      <w:r>
        <w:continuationSeparator/>
      </w:r>
    </w:p>
  </w:footnote>
  <w:footnote w:type="continuationNotice" w:id="1">
    <w:p w14:paraId="1D079A3B" w14:textId="77777777" w:rsidR="00CB5291" w:rsidRDefault="00CB5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2"/>
  </w:num>
  <w:num w:numId="5" w16cid:durableId="648827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0"/>
  </w:num>
  <w:num w:numId="12" w16cid:durableId="1175027039">
    <w:abstractNumId w:val="17"/>
  </w:num>
  <w:num w:numId="13" w16cid:durableId="665591870">
    <w:abstractNumId w:val="1"/>
  </w:num>
  <w:num w:numId="14" w16cid:durableId="1820999206">
    <w:abstractNumId w:val="21"/>
  </w:num>
  <w:num w:numId="15" w16cid:durableId="27068971">
    <w:abstractNumId w:val="10"/>
  </w:num>
  <w:num w:numId="16" w16cid:durableId="1673684540">
    <w:abstractNumId w:val="15"/>
  </w:num>
  <w:num w:numId="17" w16cid:durableId="689647860">
    <w:abstractNumId w:val="3"/>
  </w:num>
  <w:num w:numId="18" w16cid:durableId="836766221">
    <w:abstractNumId w:val="9"/>
  </w:num>
  <w:num w:numId="19" w16cid:durableId="2067408291">
    <w:abstractNumId w:val="27"/>
  </w:num>
  <w:num w:numId="20" w16cid:durableId="648173420">
    <w:abstractNumId w:val="19"/>
  </w:num>
  <w:num w:numId="21" w16cid:durableId="864829629">
    <w:abstractNumId w:val="22"/>
  </w:num>
  <w:num w:numId="22" w16cid:durableId="2002073984">
    <w:abstractNumId w:val="24"/>
  </w:num>
  <w:num w:numId="23" w16cid:durableId="1372269391">
    <w:abstractNumId w:val="2"/>
  </w:num>
  <w:num w:numId="24" w16cid:durableId="86540056">
    <w:abstractNumId w:val="18"/>
  </w:num>
  <w:num w:numId="25" w16cid:durableId="1848398925">
    <w:abstractNumId w:val="0"/>
  </w:num>
  <w:num w:numId="26" w16cid:durableId="268200992">
    <w:abstractNumId w:val="26"/>
  </w:num>
  <w:num w:numId="27" w16cid:durableId="1199899444">
    <w:abstractNumId w:val="5"/>
  </w:num>
  <w:num w:numId="28" w16cid:durableId="2124037151">
    <w:abstractNumId w:val="20"/>
  </w:num>
  <w:num w:numId="29" w16cid:durableId="1176505110">
    <w:abstractNumId w:val="28"/>
  </w:num>
  <w:num w:numId="30" w16cid:durableId="1879048688">
    <w:abstractNumId w:val="16"/>
  </w:num>
  <w:num w:numId="31" w16cid:durableId="1398741903">
    <w:abstractNumId w:val="8"/>
  </w:num>
  <w:num w:numId="32" w16cid:durableId="1789276309">
    <w:abstractNumId w:val="14"/>
  </w:num>
  <w:num w:numId="33" w16cid:durableId="193614665">
    <w:abstractNumId w:val="31"/>
  </w:num>
  <w:num w:numId="34" w16cid:durableId="23554501">
    <w:abstractNumId w:val="12"/>
  </w:num>
  <w:num w:numId="35" w16cid:durableId="57362482">
    <w:abstractNumId w:val="25"/>
  </w:num>
  <w:num w:numId="36" w16cid:durableId="74765317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3340</TotalTime>
  <Pages>3</Pages>
  <Words>869</Words>
  <Characters>4956</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1876</cp:revision>
  <cp:lastPrinted>2016-08-05T18:54:00Z</cp:lastPrinted>
  <dcterms:created xsi:type="dcterms:W3CDTF">2020-08-03T20:20:00Z</dcterms:created>
  <dcterms:modified xsi:type="dcterms:W3CDTF">2022-11-07T09:08:00Z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